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96254C">
              <w:t>DERECHO FINANCIEO Y TRIBUTARIO</w:t>
            </w:r>
          </w:p>
          <w:p w:rsidR="002726C7" w:rsidRPr="003A369F" w:rsidRDefault="002726C7" w:rsidP="002726C7">
            <w:pPr>
              <w:rPr>
                <w:u w:val="single"/>
              </w:rPr>
            </w:pPr>
          </w:p>
        </w:tc>
        <w:tc>
          <w:tcPr>
            <w:tcW w:w="1123" w:type="dxa"/>
          </w:tcPr>
          <w:p w:rsidR="003A369F" w:rsidRDefault="003A369F" w:rsidP="006C0749">
            <w:bookmarkStart w:id="0" w:name="_GoBack"/>
            <w:bookmarkEnd w:id="0"/>
          </w:p>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96254C" w:rsidRPr="004D7442" w:rsidRDefault="0096254C" w:rsidP="0096254C">
            <w:pPr>
              <w:pStyle w:val="NormalWeb"/>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 xml:space="preserve">Profesor Titular de Derecho Financiero y Tributario. Licenciado y Doctor en Derecho por la Universidad Complutense de Madrid (UCM) y Master en Asesoría Fiscal y Tributación por el Centro de Estudios Financieros. Es autor de cuatro monografías y más de un centenar de artículos, capítulos de libros y comentarios jurisprudenciales publicados en revistas especializadas. También es coautor de los manuales "Lecciones de Derecho Financiero y Tributario" y "Sistema Fiscal Español", publicados por la editorial </w:t>
            </w:r>
            <w:proofErr w:type="spellStart"/>
            <w:r w:rsidRPr="004D7442">
              <w:rPr>
                <w:rFonts w:asciiTheme="minorHAnsi" w:hAnsiTheme="minorHAnsi" w:cstheme="minorHAnsi"/>
                <w:color w:val="000000" w:themeColor="text1"/>
              </w:rPr>
              <w:t>Iustel</w:t>
            </w:r>
            <w:proofErr w:type="spellEnd"/>
            <w:r w:rsidRPr="004D7442">
              <w:rPr>
                <w:rFonts w:asciiTheme="minorHAnsi" w:hAnsiTheme="minorHAnsi" w:cstheme="minorHAnsi"/>
                <w:color w:val="000000" w:themeColor="text1"/>
              </w:rPr>
              <w:t>.</w:t>
            </w:r>
          </w:p>
          <w:p w:rsidR="0096254C" w:rsidRPr="004D7442" w:rsidRDefault="0096254C" w:rsidP="0096254C">
            <w:pPr>
              <w:pStyle w:val="NormalWeb"/>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Es conferenciante habitual en foros académicos y profesionales, tanto en España como en el extranjero, y formó parte del equipo de apoyo a la Comisión para el estudio del Anteproyecto de la vigente Ley General Tributaria, perteneciendo, asimismo, al consejo de redacción de diversas revistas de la especialidad. Ha sido galardonado con el premio extraordinario de doctorado de la UCM, con el premio del Instituto de Estudios Fiscales (Ministerio de Economía y Hacienda) a la mejor tesis doctoral en materia de Derecho Financiero y Tributario y con el premio del Consejo Económico y Social de Madrid.</w:t>
            </w:r>
          </w:p>
          <w:p w:rsidR="001D7F79" w:rsidRPr="004D7442" w:rsidRDefault="001D7F79">
            <w:pPr>
              <w:rPr>
                <w:rFonts w:cstheme="minorHAnsi"/>
                <w:color w:val="000000" w:themeColor="text1"/>
                <w:sz w:val="24"/>
                <w:szCs w:val="24"/>
              </w:rPr>
            </w:pPr>
          </w:p>
          <w:p w:rsidR="001D7F79" w:rsidRPr="004D7442" w:rsidRDefault="001D7F79" w:rsidP="001D7F79">
            <w:pPr>
              <w:rPr>
                <w:rFonts w:cstheme="minorHAnsi"/>
                <w:color w:val="000000" w:themeColor="text1"/>
                <w:sz w:val="24"/>
                <w:szCs w:val="24"/>
              </w:rPr>
            </w:pPr>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96254C" w:rsidRPr="004D7442" w:rsidRDefault="0096254C" w:rsidP="0096254C">
            <w:pPr>
              <w:pStyle w:val="paragraphstyle5"/>
              <w:numPr>
                <w:ilvl w:val="0"/>
                <w:numId w:val="2"/>
              </w:numPr>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Fiscalidad internacional y de la Unión Europea</w:t>
            </w:r>
          </w:p>
          <w:p w:rsidR="0096254C" w:rsidRPr="004D7442" w:rsidRDefault="0096254C" w:rsidP="0096254C">
            <w:pPr>
              <w:pStyle w:val="paragraphstyle5"/>
              <w:numPr>
                <w:ilvl w:val="0"/>
                <w:numId w:val="2"/>
              </w:numPr>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Derechos y garantías de los contribuyentes</w:t>
            </w:r>
          </w:p>
          <w:p w:rsidR="0096254C" w:rsidRPr="004D7442" w:rsidRDefault="0096254C" w:rsidP="0096254C">
            <w:pPr>
              <w:pStyle w:val="paragraphstyle5"/>
              <w:numPr>
                <w:ilvl w:val="0"/>
                <w:numId w:val="2"/>
              </w:numPr>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Derecho sancionador tributario</w:t>
            </w:r>
          </w:p>
          <w:p w:rsidR="0096254C" w:rsidRPr="004D7442" w:rsidRDefault="0096254C" w:rsidP="0096254C">
            <w:pPr>
              <w:pStyle w:val="paragraphstyle5"/>
              <w:numPr>
                <w:ilvl w:val="0"/>
                <w:numId w:val="2"/>
              </w:numPr>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Impuesto sobre el Valor Añadido</w:t>
            </w:r>
          </w:p>
          <w:p w:rsidR="0096254C" w:rsidRPr="004D7442" w:rsidRDefault="0096254C" w:rsidP="0096254C">
            <w:pPr>
              <w:pStyle w:val="paragraphstyle5"/>
              <w:numPr>
                <w:ilvl w:val="0"/>
                <w:numId w:val="2"/>
              </w:numPr>
              <w:spacing w:before="0" w:beforeAutospacing="0" w:after="150" w:afterAutospacing="0"/>
              <w:rPr>
                <w:rFonts w:asciiTheme="minorHAnsi" w:hAnsiTheme="minorHAnsi" w:cstheme="minorHAnsi"/>
                <w:color w:val="000000" w:themeColor="text1"/>
              </w:rPr>
            </w:pPr>
            <w:r w:rsidRPr="004D7442">
              <w:rPr>
                <w:rFonts w:asciiTheme="minorHAnsi" w:hAnsiTheme="minorHAnsi" w:cstheme="minorHAnsi"/>
                <w:color w:val="000000" w:themeColor="text1"/>
              </w:rPr>
              <w:t>Estabilidad presupuestaria y su incidencia en el sistema fiscal</w:t>
            </w:r>
          </w:p>
          <w:p w:rsidR="001D7F79" w:rsidRPr="004D7442" w:rsidRDefault="001D7F79" w:rsidP="0096254C">
            <w:pPr>
              <w:rPr>
                <w:rFonts w:cstheme="minorHAnsi"/>
                <w:color w:val="000000" w:themeColor="text1"/>
                <w:sz w:val="24"/>
                <w:szCs w:val="24"/>
              </w:rPr>
            </w:pPr>
          </w:p>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4D7442" w:rsidRPr="004D7442" w:rsidRDefault="004D7442" w:rsidP="004D7442">
            <w:pPr>
              <w:pStyle w:val="Prrafodelista"/>
              <w:numPr>
                <w:ilvl w:val="0"/>
                <w:numId w:val="3"/>
              </w:numPr>
              <w:jc w:val="both"/>
              <w:rPr>
                <w:rFonts w:cstheme="minorHAnsi"/>
                <w:color w:val="000000" w:themeColor="text1"/>
                <w:sz w:val="24"/>
                <w:szCs w:val="24"/>
              </w:rPr>
            </w:pPr>
            <w:r>
              <w:rPr>
                <w:rFonts w:cstheme="minorHAnsi"/>
                <w:color w:val="000000" w:themeColor="text1"/>
                <w:sz w:val="24"/>
                <w:szCs w:val="24"/>
              </w:rPr>
              <w:t>“</w:t>
            </w:r>
            <w:r w:rsidRPr="004D7442">
              <w:rPr>
                <w:rFonts w:cstheme="minorHAnsi"/>
                <w:color w:val="000000" w:themeColor="text1"/>
                <w:sz w:val="24"/>
                <w:szCs w:val="24"/>
              </w:rPr>
              <w:t>La protección de las libertades y derechos fundamentales en el ordenamiento financiero y tributario</w:t>
            </w:r>
            <w:r>
              <w:rPr>
                <w:rFonts w:cstheme="minorHAnsi"/>
                <w:color w:val="000000" w:themeColor="text1"/>
                <w:sz w:val="24"/>
                <w:szCs w:val="24"/>
              </w:rPr>
              <w:t>”</w:t>
            </w:r>
            <w:r w:rsidRPr="004D7442">
              <w:rPr>
                <w:rFonts w:cstheme="minorHAnsi"/>
                <w:color w:val="000000" w:themeColor="text1"/>
                <w:sz w:val="24"/>
                <w:szCs w:val="24"/>
              </w:rPr>
              <w:t xml:space="preserve"> (DER 2015-65832-P), 1.1.2016- 31.12.2019, financiado por el Ministerio de Economía y Competitividad</w:t>
            </w:r>
            <w:r>
              <w:rPr>
                <w:rFonts w:cstheme="minorHAnsi"/>
                <w:color w:val="000000" w:themeColor="text1"/>
                <w:sz w:val="24"/>
                <w:szCs w:val="24"/>
              </w:rPr>
              <w:t xml:space="preserve"> (investigador principal).</w:t>
            </w:r>
          </w:p>
          <w:p w:rsidR="004D7442" w:rsidRPr="004D7442" w:rsidRDefault="004D7442" w:rsidP="004D7442">
            <w:pPr>
              <w:pStyle w:val="Prrafodelista"/>
              <w:numPr>
                <w:ilvl w:val="0"/>
                <w:numId w:val="3"/>
              </w:numPr>
              <w:jc w:val="both"/>
              <w:rPr>
                <w:rFonts w:cstheme="minorHAnsi"/>
                <w:color w:val="000000" w:themeColor="text1"/>
                <w:sz w:val="24"/>
                <w:szCs w:val="24"/>
              </w:rPr>
            </w:pPr>
            <w:r>
              <w:rPr>
                <w:rFonts w:cstheme="minorHAnsi"/>
                <w:color w:val="000000" w:themeColor="text1"/>
                <w:sz w:val="24"/>
                <w:szCs w:val="24"/>
              </w:rPr>
              <w:t xml:space="preserve">“Instrumentos para la financiación sostenible de la Hacienda Pública: en especial la contribución del sistema fiscal”, </w:t>
            </w:r>
            <w:r w:rsidRPr="004D7442">
              <w:rPr>
                <w:rFonts w:cstheme="minorHAnsi"/>
                <w:color w:val="000000" w:themeColor="text1"/>
                <w:sz w:val="24"/>
                <w:szCs w:val="24"/>
              </w:rPr>
              <w:t>1.1.201</w:t>
            </w:r>
            <w:r>
              <w:rPr>
                <w:rFonts w:cstheme="minorHAnsi"/>
                <w:color w:val="000000" w:themeColor="text1"/>
                <w:sz w:val="24"/>
                <w:szCs w:val="24"/>
              </w:rPr>
              <w:t>3</w:t>
            </w:r>
            <w:r w:rsidRPr="004D7442">
              <w:rPr>
                <w:rFonts w:cstheme="minorHAnsi"/>
                <w:color w:val="000000" w:themeColor="text1"/>
                <w:sz w:val="24"/>
                <w:szCs w:val="24"/>
              </w:rPr>
              <w:t>- 31.12.201</w:t>
            </w:r>
            <w:r>
              <w:rPr>
                <w:rFonts w:cstheme="minorHAnsi"/>
                <w:color w:val="000000" w:themeColor="text1"/>
                <w:sz w:val="24"/>
                <w:szCs w:val="24"/>
              </w:rPr>
              <w:t>5</w:t>
            </w:r>
            <w:r w:rsidRPr="004D7442">
              <w:rPr>
                <w:rFonts w:cstheme="minorHAnsi"/>
                <w:color w:val="000000" w:themeColor="text1"/>
                <w:sz w:val="24"/>
                <w:szCs w:val="24"/>
              </w:rPr>
              <w:t>, financiado por el Ministerio de Economía y Competitividad</w:t>
            </w:r>
            <w:r>
              <w:rPr>
                <w:rFonts w:cstheme="minorHAnsi"/>
                <w:color w:val="000000" w:themeColor="text1"/>
                <w:sz w:val="24"/>
                <w:szCs w:val="24"/>
              </w:rPr>
              <w:t xml:space="preserve"> (investigador principal).</w:t>
            </w:r>
          </w:p>
          <w:p w:rsidR="001D7F79" w:rsidRPr="004D7442" w:rsidRDefault="001D7F79" w:rsidP="004D7442">
            <w:pPr>
              <w:jc w:val="both"/>
              <w:rPr>
                <w:rFonts w:cstheme="minorHAnsi"/>
                <w:color w:val="000000" w:themeColor="text1"/>
                <w:sz w:val="24"/>
                <w:szCs w:val="24"/>
              </w:rPr>
            </w:pPr>
          </w:p>
        </w:tc>
      </w:tr>
      <w:tr w:rsidR="006E5F82" w:rsidTr="001D7F79">
        <w:tc>
          <w:tcPr>
            <w:tcW w:w="1560" w:type="dxa"/>
          </w:tcPr>
          <w:p w:rsidR="006E5F82" w:rsidRDefault="006E5F82" w:rsidP="006E5F82">
            <w:pPr>
              <w:rPr>
                <w:u w:val="single"/>
              </w:rPr>
            </w:pPr>
          </w:p>
          <w:p w:rsidR="006E5F82" w:rsidRPr="003A369F" w:rsidRDefault="006E5F82" w:rsidP="006E5F82">
            <w:pPr>
              <w:rPr>
                <w:u w:val="single"/>
              </w:rPr>
            </w:pPr>
          </w:p>
        </w:tc>
        <w:tc>
          <w:tcPr>
            <w:tcW w:w="6934" w:type="dxa"/>
            <w:gridSpan w:val="2"/>
          </w:tcPr>
          <w:p w:rsidR="001D7F79" w:rsidRDefault="00317319" w:rsidP="006E5F82">
            <w:r w:rsidRPr="00317319">
              <w:t>https://bibliometria.ucm.es/fichaInvestigador/fe/1061</w:t>
            </w:r>
          </w:p>
        </w:tc>
      </w:tr>
      <w:tr w:rsidR="001D7F79" w:rsidTr="001D7F79">
        <w:tc>
          <w:tcPr>
            <w:tcW w:w="1560" w:type="dxa"/>
          </w:tcPr>
          <w:p w:rsidR="001D7F79" w:rsidRDefault="001D7F79" w:rsidP="00C875F1">
            <w:pPr>
              <w:rPr>
                <w:u w:val="single"/>
              </w:rPr>
            </w:pPr>
            <w:r>
              <w:rPr>
                <w:u w:val="single"/>
              </w:rPr>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317319" w:rsidP="00C875F1">
            <w:r>
              <w:lastRenderedPageBreak/>
              <w:t>Profesor Titular de Derecho financiero y tributario de la UCM desde el 12 de enero de 2007.</w:t>
            </w:r>
          </w:p>
        </w:tc>
      </w:tr>
    </w:tbl>
    <w:p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E4" w:rsidRDefault="008859E4" w:rsidP="001D7F79">
      <w:pPr>
        <w:spacing w:after="0" w:line="240" w:lineRule="auto"/>
      </w:pPr>
      <w:r>
        <w:separator/>
      </w:r>
    </w:p>
  </w:endnote>
  <w:endnote w:type="continuationSeparator" w:id="0">
    <w:p w:rsidR="008859E4" w:rsidRDefault="008859E4"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E4" w:rsidRDefault="008859E4" w:rsidP="001D7F79">
      <w:pPr>
        <w:spacing w:after="0" w:line="240" w:lineRule="auto"/>
      </w:pPr>
      <w:r>
        <w:separator/>
      </w:r>
    </w:p>
  </w:footnote>
  <w:footnote w:type="continuationSeparator" w:id="0">
    <w:p w:rsidR="008859E4" w:rsidRDefault="008859E4"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168"/>
    <w:multiLevelType w:val="multilevel"/>
    <w:tmpl w:val="6612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C6928"/>
    <w:multiLevelType w:val="hybridMultilevel"/>
    <w:tmpl w:val="A9860466"/>
    <w:lvl w:ilvl="0" w:tplc="040A000F">
      <w:start w:val="1"/>
      <w:numFmt w:val="decimal"/>
      <w:lvlText w:val="%1."/>
      <w:lvlJc w:val="left"/>
      <w:pPr>
        <w:ind w:left="720" w:hanging="360"/>
      </w:pPr>
      <w:rPr>
        <w:rFonts w:ascii="Times New Roman" w:hAnsi="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E543D78"/>
    <w:multiLevelType w:val="hybridMultilevel"/>
    <w:tmpl w:val="4CF242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D7A4B"/>
    <w:rsid w:val="00111DFA"/>
    <w:rsid w:val="001139AD"/>
    <w:rsid w:val="0012179E"/>
    <w:rsid w:val="00126A29"/>
    <w:rsid w:val="00191B18"/>
    <w:rsid w:val="001B272D"/>
    <w:rsid w:val="001D5804"/>
    <w:rsid w:val="001D7F79"/>
    <w:rsid w:val="00220208"/>
    <w:rsid w:val="00231BD7"/>
    <w:rsid w:val="002726C7"/>
    <w:rsid w:val="002E0289"/>
    <w:rsid w:val="00317319"/>
    <w:rsid w:val="003A369F"/>
    <w:rsid w:val="004D7442"/>
    <w:rsid w:val="004D76B6"/>
    <w:rsid w:val="00506DA3"/>
    <w:rsid w:val="0055671E"/>
    <w:rsid w:val="005B38F9"/>
    <w:rsid w:val="006A0346"/>
    <w:rsid w:val="006C0749"/>
    <w:rsid w:val="006E5F82"/>
    <w:rsid w:val="007579F8"/>
    <w:rsid w:val="00760D07"/>
    <w:rsid w:val="00780D55"/>
    <w:rsid w:val="00863858"/>
    <w:rsid w:val="008859E4"/>
    <w:rsid w:val="0096254C"/>
    <w:rsid w:val="00974CD4"/>
    <w:rsid w:val="00990AA2"/>
    <w:rsid w:val="00A817B5"/>
    <w:rsid w:val="00AA6974"/>
    <w:rsid w:val="00B32F6A"/>
    <w:rsid w:val="00BF0367"/>
    <w:rsid w:val="00CC3283"/>
    <w:rsid w:val="00DB5EB6"/>
    <w:rsid w:val="00E12336"/>
    <w:rsid w:val="00EF2C9D"/>
    <w:rsid w:val="00F12F70"/>
    <w:rsid w:val="00F249AD"/>
    <w:rsid w:val="00F36336"/>
    <w:rsid w:val="00F46039"/>
    <w:rsid w:val="00F72183"/>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NormalWeb">
    <w:name w:val="Normal (Web)"/>
    <w:basedOn w:val="Normal"/>
    <w:uiPriority w:val="99"/>
    <w:semiHidden/>
    <w:unhideWhenUsed/>
    <w:rsid w:val="0096254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ragraphstyle5">
    <w:name w:val="paragraph_style_5"/>
    <w:basedOn w:val="Normal"/>
    <w:rsid w:val="0096254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vieta">
    <w:name w:val="viñeta"/>
    <w:basedOn w:val="Fuentedeprrafopredeter"/>
    <w:rsid w:val="00962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paragraph" w:styleId="NormalWeb">
    <w:name w:val="Normal (Web)"/>
    <w:basedOn w:val="Normal"/>
    <w:uiPriority w:val="99"/>
    <w:semiHidden/>
    <w:unhideWhenUsed/>
    <w:rsid w:val="0096254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ragraphstyle5">
    <w:name w:val="paragraph_style_5"/>
    <w:basedOn w:val="Normal"/>
    <w:rsid w:val="0096254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vieta">
    <w:name w:val="viñeta"/>
    <w:basedOn w:val="Fuentedeprrafopredeter"/>
    <w:rsid w:val="0096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2505">
      <w:bodyDiv w:val="1"/>
      <w:marLeft w:val="0"/>
      <w:marRight w:val="0"/>
      <w:marTop w:val="0"/>
      <w:marBottom w:val="0"/>
      <w:divBdr>
        <w:top w:val="none" w:sz="0" w:space="0" w:color="auto"/>
        <w:left w:val="none" w:sz="0" w:space="0" w:color="auto"/>
        <w:bottom w:val="none" w:sz="0" w:space="0" w:color="auto"/>
        <w:right w:val="none" w:sz="0" w:space="0" w:color="auto"/>
      </w:divBdr>
    </w:div>
    <w:div w:id="1190143594">
      <w:bodyDiv w:val="1"/>
      <w:marLeft w:val="0"/>
      <w:marRight w:val="0"/>
      <w:marTop w:val="0"/>
      <w:marBottom w:val="0"/>
      <w:divBdr>
        <w:top w:val="none" w:sz="0" w:space="0" w:color="auto"/>
        <w:left w:val="none" w:sz="0" w:space="0" w:color="auto"/>
        <w:bottom w:val="none" w:sz="0" w:space="0" w:color="auto"/>
        <w:right w:val="none" w:sz="0" w:space="0" w:color="auto"/>
      </w:divBdr>
    </w:div>
    <w:div w:id="15923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3</cp:revision>
  <dcterms:created xsi:type="dcterms:W3CDTF">2019-04-23T09:45:00Z</dcterms:created>
  <dcterms:modified xsi:type="dcterms:W3CDTF">2019-06-20T14:20:00Z</dcterms:modified>
</cp:coreProperties>
</file>